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7A5FC8">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7A5FC8">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7A5FC8">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7A5FC8">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7A5FC8">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7A5FC8">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7A5FC8">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7A5FC8">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7A5FC8">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7A5FC8">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7A5FC8">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7A5FC8">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7A5FC8">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7A5FC8">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7A5FC8">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7A5FC8">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7A5FC8">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7A5FC8">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7A5FC8">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7A5FC8">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7A5FC8">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7A5FC8">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7A5FC8">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7A5FC8">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7A5FC8"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7A5FC8">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7A5FC8">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7A5FC8">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7A5FC8">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7A5FC8">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7A5FC8">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7A5FC8">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7A5FC8">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7A5FC8">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7A5FC8">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7A5FC8">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7A5FC8">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7A5FC8">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7A5FC8">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7A5FC8">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7A5FC8">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7A5FC8">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7A5FC8">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7A5FC8">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7A5FC8">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7A5FC8">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7A5FC8">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7A5FC8">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7A5FC8">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7A5FC8">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7A5FC8">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7A5FC8">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7A5FC8">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7A5FC8">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7A5FC8">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7A5FC8">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7A5FC8">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7A5FC8">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7A5FC8">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7A5FC8">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7A5FC8">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7A5FC8">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7A5FC8">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7A5FC8">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7A5FC8">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7A5FC8">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7A5FC8">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7A5FC8">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7A5FC8">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7A5FC8">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7A5FC8">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7A5FC8">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geostatístico, aplicando algoritmos de krigagem para dados na porção estruturada dos variogramas e simulações gaussianas para dados na porção não estruturada, permitindo melhor desempenho na estimativa de dados nas porções não estruturadas dos variogramas (Hengl et al., 2007; Hansen et al., 2006) e evitando as feições suavizadas características de algoritmos baseados unicamente em métodos de krigagem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 Seja o realce de descontinuidades, de refletores ou um aprimoramento da razão sinal-ruído, entre outros (Bahorich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r w:rsidR="006D5136" w:rsidRPr="00A62B7C">
        <w:rPr>
          <w:rFonts w:ascii="Arial" w:hAnsi="Arial" w:cs="Arial"/>
          <w:sz w:val="24"/>
          <w:szCs w:val="24"/>
        </w:rPr>
        <w:t>Ringrose &amp; Bentley, 2014c</w:t>
      </w:r>
      <w:r w:rsidR="006D5136">
        <w:rPr>
          <w:rFonts w:ascii="Arial" w:hAnsi="Arial" w:cs="Arial"/>
          <w:sz w:val="24"/>
          <w:szCs w:val="24"/>
        </w:rPr>
        <w:t>)</w:t>
      </w:r>
      <w:r w:rsidR="00D22610">
        <w:rPr>
          <w:rFonts w:ascii="Arial" w:hAnsi="Arial" w:cs="Arial"/>
          <w:sz w:val="24"/>
          <w:szCs w:val="24"/>
        </w:rPr>
        <w:t>. Ao mesmo tempo, altos valores para o atributo de ant-tracking são associados a altos graus de fraturamento em testemunho (Fang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s interpretativo associado ao processo (Cox &amp; Seitz,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baseado nos atributos de variância e ant-tracking. Ao mesmo tempo, outros autores sugerem a utilização de filtros de suavização estrutural previamente ao cálculo do atributo de variância à fim de reduzir os efeitos de ruídos nas estruturas caracterizadas (Randen et al., 2001; Zhao et al., 2015; Basir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(Al-Mudhafar et al., 2015; Aragão &amp; Sava,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Auto-Organizáveis e K-Means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K-Means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net-to-gross</w:t>
      </w:r>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 xml:space="preserve">O algoritmo de Mistura Gaussiana, ao apresentar saídas probabilísticas para cada classe, permite quantificar as probabilidades de cada ponto pertencer a cada classe (Viroli &amp; McLachlan, 2019). Como o cálculo de volumes, objetivo final deste estudo, </w:t>
      </w:r>
      <w:r w:rsidRPr="00403851">
        <w:rPr>
          <w:rFonts w:ascii="Arial" w:hAnsi="Arial" w:cs="Arial"/>
          <w:sz w:val="24"/>
          <w:szCs w:val="24"/>
        </w:rPr>
        <w:lastRenderedPageBreak/>
        <w:t>passa pela estimativa da razão Net-to-Gross, também medida entre 0 e 1 (Egbele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r w:rsidR="00831A57" w:rsidRPr="00831A57">
        <w:rPr>
          <w:rFonts w:ascii="Arial" w:hAnsi="Arial" w:cs="Arial"/>
          <w:i/>
          <w:iCs/>
          <w:sz w:val="24"/>
          <w:szCs w:val="24"/>
        </w:rPr>
        <w:t>segy</w:t>
      </w:r>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7A5FC8"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r w:rsidR="001419C4" w:rsidRPr="00F91027">
        <w:rPr>
          <w:rFonts w:ascii="Arial" w:hAnsi="Arial" w:cs="Arial"/>
          <w:i/>
          <w:sz w:val="24"/>
          <w:szCs w:val="24"/>
        </w:rPr>
        <w:t>Phi</w:t>
      </w:r>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r w:rsidRPr="00C06E26">
        <w:rPr>
          <w:rFonts w:ascii="Arial" w:hAnsi="Arial" w:cs="Arial"/>
          <w:i/>
          <w:sz w:val="24"/>
          <w:szCs w:val="24"/>
        </w:rPr>
        <w:t>ant-tracking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7A5FC8"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(Godfrey &amp; Bachrach,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r w:rsidR="00D22610">
        <w:rPr>
          <w:rFonts w:ascii="Arial" w:hAnsi="Arial" w:cs="Arial"/>
          <w:sz w:val="24"/>
          <w:szCs w:val="24"/>
        </w:rPr>
        <w:t>discretizadas</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7A5FC8" w:rsidRPr="00075389" w:rsidRDefault="007A5FC8"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7A5FC8" w:rsidRPr="00075389" w:rsidRDefault="007A5FC8"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7A5FC8"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r w:rsidR="00403851">
        <w:rPr>
          <w:rFonts w:ascii="Arial" w:hAnsi="Arial" w:cs="Arial"/>
          <w:sz w:val="24"/>
          <w:szCs w:val="24"/>
        </w:rPr>
        <w:t xml:space="preserve">Hengl et al., 2007: </w:t>
      </w:r>
      <w:r w:rsidR="009E6BB7">
        <w:rPr>
          <w:rFonts w:ascii="Arial" w:hAnsi="Arial" w:cs="Arial"/>
          <w:sz w:val="24"/>
          <w:szCs w:val="24"/>
        </w:rPr>
        <w:t>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 xml:space="preserve">No entanto, a utilização do algoritmo de Função Gaussiana Aleatória de Simulação (Gaussian Random Function Simulation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variogramas,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&amp; 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r w:rsidR="00420BBE">
        <w:rPr>
          <w:rFonts w:ascii="Arial" w:hAnsi="Arial" w:cs="Arial"/>
          <w:sz w:val="24"/>
          <w:szCs w:val="24"/>
        </w:rPr>
        <w:t xml:space="preserve">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r w:rsidR="00222AE4" w:rsidRPr="00222AE4">
        <w:rPr>
          <w:rFonts w:ascii="Arial" w:hAnsi="Arial" w:cs="Arial"/>
          <w:i/>
          <w:sz w:val="24"/>
          <w:szCs w:val="24"/>
        </w:rPr>
        <w:t>upscaling</w:t>
      </w:r>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ant-tracking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de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r w:rsidRPr="00422C09">
        <w:rPr>
          <w:rFonts w:ascii="Arial" w:hAnsi="Arial" w:cs="Arial"/>
          <w:i/>
          <w:sz w:val="24"/>
          <w:szCs w:val="24"/>
        </w:rPr>
        <w:t>Hydrocarbon Pore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lastRenderedPageBreak/>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7A5FC8"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7A5FC8"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7A5FC8"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Sönico,</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(Saaturação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w:t>
      </w:r>
      <w:r w:rsidR="00D7096C">
        <w:rPr>
          <w:rFonts w:ascii="Arial" w:eastAsia="Times New Roman" w:hAnsi="Arial" w:cs="Arial"/>
          <w:sz w:val="24"/>
          <w:szCs w:val="24"/>
        </w:rPr>
        <w:t xml:space="preserve"> open source</w:t>
      </w:r>
      <w:r w:rsidR="00BF086F">
        <w:rPr>
          <w:rFonts w:ascii="Arial" w:eastAsia="Times New Roman" w:hAnsi="Arial" w:cs="Arial"/>
          <w:sz w:val="24"/>
          <w:szCs w:val="24"/>
        </w:rPr>
        <w:t xml:space="preserve">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K-Means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Scikit-Learn (Pedregosa et al., 2011)</w:t>
      </w:r>
      <w:r w:rsidR="00024484">
        <w:rPr>
          <w:rFonts w:ascii="Arial" w:eastAsia="Times New Roman" w:hAnsi="Arial" w:cs="Arial"/>
          <w:sz w:val="24"/>
          <w:szCs w:val="24"/>
        </w:rPr>
        <w:t>, fonte do algoritmo de K-Means</w:t>
      </w:r>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Ant-Tracking e Latitudes e tão pouco é possível observar valores de Ant-Tracking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r w:rsidR="00476EA3" w:rsidRPr="00476EA3">
        <w:rPr>
          <w:rFonts w:ascii="Arial" w:hAnsi="Arial" w:cs="Arial"/>
          <w:sz w:val="24"/>
          <w:szCs w:val="24"/>
        </w:rPr>
        <w:t xml:space="preserve">ant-tracking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Bachrach,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de altos valores de Ant-Tracking.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ant-tracking ocorrem primariamente associadas a feições lineares de grande escala enquanto na Zona Sul estes valores ocorrem de maneira disseminada ao longo do volume. O valor médio de ant-tracking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Os resultados obtidos corroboram com as observações de Tomaso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cut-offs mínimos de ant-tracking e analisar a quais zonas cada célula pertence é possível representar de maneira simples este zoneamento (Figura 22). As células com valores de ant-tracking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8 e 0, valores que se correlacionam com elevadas intensidades de fraturamento,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r w:rsidRPr="000379D6">
        <w:rPr>
          <w:rFonts w:ascii="Arial" w:hAnsi="Arial" w:cs="Arial"/>
          <w:i/>
          <w:iCs/>
          <w:sz w:val="24"/>
          <w:szCs w:val="24"/>
        </w:rPr>
        <w:t>upscaling</w:t>
      </w:r>
      <w:r w:rsidRPr="000379D6">
        <w:rPr>
          <w:rFonts w:ascii="Arial" w:hAnsi="Arial" w:cs="Arial"/>
          <w:sz w:val="24"/>
          <w:szCs w:val="24"/>
        </w:rPr>
        <w:t xml:space="preserve"> por média móvel apresentado anteriormente (Figura 12), os dados de petrofísica de poço foram transformados da escala de poço para a escala do modelo estrutural, populando células que interceptam os poços e criando grids colunares. A distribuição estatística dos dados antes e depois da transformação é utilizada para avaliar o resultado do </w:t>
      </w:r>
      <w:r w:rsidRPr="000379D6">
        <w:rPr>
          <w:rFonts w:ascii="Arial" w:hAnsi="Arial" w:cs="Arial"/>
          <w:i/>
          <w:iCs/>
          <w:sz w:val="24"/>
          <w:szCs w:val="24"/>
        </w:rPr>
        <w:t>upscaling</w:t>
      </w:r>
      <w:r w:rsidRPr="000379D6">
        <w:rPr>
          <w:rFonts w:ascii="Arial" w:hAnsi="Arial" w:cs="Arial"/>
          <w:sz w:val="24"/>
          <w:szCs w:val="24"/>
        </w:rPr>
        <w:t>. Em seguida é feito o modelamento geoestatístico destas propriedades para as zonas inter-poços, populando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(Gaussian Random Function Simulation, GRFS), onde valores na porção estruturada dos variogramas são modelados usando técnicas krigagem e valores na porção não </w:t>
      </w:r>
      <w:r w:rsidRPr="000379D6">
        <w:rPr>
          <w:rFonts w:ascii="Arial" w:hAnsi="Arial" w:cs="Arial"/>
          <w:sz w:val="24"/>
          <w:szCs w:val="24"/>
        </w:rPr>
        <w:lastRenderedPageBreak/>
        <w:t>estruturada dos variogramas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upscaling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r w:rsidRPr="007B10EB">
        <w:rPr>
          <w:rFonts w:ascii="Arial" w:eastAsia="Times New Roman" w:hAnsi="Arial" w:cs="Arial"/>
          <w:bCs/>
          <w:i/>
          <w:iCs/>
          <w:sz w:val="24"/>
          <w:szCs w:val="24"/>
        </w:rPr>
        <w:t>upscaling</w:t>
      </w:r>
      <w:r w:rsidRPr="007B10EB">
        <w:rPr>
          <w:rFonts w:ascii="Arial" w:eastAsia="Times New Roman" w:hAnsi="Arial" w:cs="Arial"/>
          <w:bCs/>
          <w:sz w:val="24"/>
          <w:szCs w:val="24"/>
        </w:rPr>
        <w:t xml:space="preserve"> dos dados de GR, quando comparado aos dados de poço subestima a quantidade de células com valores entre 30 e 40 gAPI, no entanto, a distribuição dos dados de poço é mantida de maneira geral (Figura 23). Nas visualizações em mapa e perfil é possível observar uma transição de valores em torno de 30 gAPI em células mais profundas próximas ao contato óleo-água para valores em torno de 60 gAPI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gAPI intercalados com valores em torno de 30 gAPI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Os resultados do modelamento de dados de raio gama sugerem a ocorrência de fácies folhelho ou granulometrias mais finas cobrindo e se intercalando às sequências carbonáticas do Quissamã, em especial em regiões próximas ao topo da Formação, sugerindo inicio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Os dados após upscaling subestimam valores em torno de 30 gAPI</w:t>
      </w:r>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Os dados de perfil sônico apresentam uma distribuição aproximadamente normal com média em torno de 80 μs/ft tanto para os dados de entrada como para os dados após upscaling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Os valores obtidos para o modelo variam primariamente entre 60 e 100 μs/ft, valores consideravelmente superiores aos valores típicos entre 40 e 50 μs/ft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μs/ft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upscaling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upscaling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Os dados de porosidade efetiva mostram valores distribuídos de forma aproximadamente normal centrados em valores em torno de 20%, com valores mínimos próximos de 0 e máximos próximos de 50%, e assim como para os outros modelos, o método de upscaling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upscaling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134936A2"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entre as zonas norte e sul do reservatório (Figura 33), indicando que embora dentro das zonas ocorram prováveis variações faciológicas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gAPI, um segundo agrupamento mais pronunciado na zona norte em torno de 40 gAPI</w:t>
      </w:r>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gAPI.</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2AEDAAB5"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p>
    <w:p w14:paraId="411D40AD" w14:textId="7030A1E4"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4B22A00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p>
    <w:p w14:paraId="0A61C9FE" w14:textId="35157826" w:rsidR="00EF710D" w:rsidRDefault="00EF710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p>
    <w:p w14:paraId="1C63EF51" w14:textId="001BC23A" w:rsidR="00382D38" w:rsidRDefault="00382D38"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diagenéticos reduzindo porosidades.</w:t>
      </w:r>
    </w:p>
    <w:p w14:paraId="5F6B2189" w14:textId="25915E7C" w:rsidR="00970CDA" w:rsidRDefault="00970CDA" w:rsidP="00970CDA">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p>
    <w:p w14:paraId="77105629" w14:textId="2BE92CC3"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5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7"/>
    </w:p>
    <w:p w14:paraId="29DF5C6B" w14:textId="77777777" w:rsidR="001E2D45" w:rsidRPr="001E2D45" w:rsidRDefault="001E2D45" w:rsidP="001E2D45">
      <w:pPr>
        <w:rPr>
          <w:rFonts w:ascii="Arial" w:hAnsi="Arial" w:cs="Arial"/>
          <w:b/>
          <w:sz w:val="24"/>
          <w:szCs w:val="24"/>
        </w:rPr>
      </w:pPr>
    </w:p>
    <w:p w14:paraId="0830E58E" w14:textId="3A72B029"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os algoritmos de aprendizado de máquina não supervisionado K-Means e Modelo de Mistura Gaussiana (</w:t>
      </w:r>
      <w:r w:rsidR="00F76B70" w:rsidRPr="00F76B70">
        <w:rPr>
          <w:rFonts w:ascii="Arial" w:hAnsi="Arial" w:cs="Arial"/>
          <w:i/>
          <w:iCs/>
          <w:sz w:val="24"/>
          <w:szCs w:val="24"/>
        </w:rPr>
        <w:t>Gaussian Mixture Model</w:t>
      </w:r>
      <w:r w:rsidR="00F76B70">
        <w:rPr>
          <w:rFonts w:ascii="Arial" w:hAnsi="Arial" w:cs="Arial"/>
          <w:sz w:val="24"/>
          <w:szCs w:val="24"/>
        </w:rPr>
        <w:t xml:space="preserve"> – GMM).</w:t>
      </w:r>
    </w:p>
    <w:p w14:paraId="1DDCF636" w14:textId="2A06BA23"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Pr>
          <w:rFonts w:ascii="Arial" w:eastAsia="Times New Roman" w:hAnsi="Arial" w:cs="Arial"/>
          <w:sz w:val="24"/>
          <w:szCs w:val="24"/>
        </w:rPr>
        <w:t>Enquanto K-Means é comumente utilizado em problemas de clusterização aplicados à dados de poço (Schlumberger, 2015 &amp; Romary et al, 2012), sua saída se dá em classificações discretas sem qualquer consideração sobre ambiguidade. O método de GMM, no entanto, fornece resultados similares ao K-Means, porém possibilita a consideração de probabilidades de cada amostra pertencer a cada uma das classes geradas.</w:t>
      </w:r>
    </w:p>
    <w:p w14:paraId="5CDCE3F1" w14:textId="2A36EA26"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 computou-se o algoritmo de K-Means</w:t>
      </w:r>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Davies-Bouldin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 xml:space="preserve">O máximo local do índice de silhueta para um K de 3 classes acompanhado do mínimo local do índice de Davies-Bouldin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4522E54">
            <wp:extent cx="3088419" cy="227736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088419" cy="2277366"/>
                    </a:xfrm>
                    <a:prstGeom prst="rect">
                      <a:avLst/>
                    </a:prstGeom>
                  </pic:spPr>
                </pic:pic>
              </a:graphicData>
            </a:graphic>
          </wp:inline>
        </w:drawing>
      </w:r>
    </w:p>
    <w:p w14:paraId="000F236E" w14:textId="5B68BB0A" w:rsidR="00D230EE" w:rsidRDefault="00D230EE" w:rsidP="00D230EE">
      <w:pPr>
        <w:pStyle w:val="Legenda"/>
        <w:jc w:val="center"/>
        <w:rPr>
          <w:rFonts w:ascii="Arial" w:hAnsi="Arial" w:cs="Arial"/>
          <w:b/>
          <w:bCs/>
          <w:color w:val="auto"/>
          <w:sz w:val="20"/>
          <w:szCs w:val="20"/>
        </w:rPr>
      </w:pPr>
      <w:bookmarkStart w:id="58"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58"/>
    </w:p>
    <w:p w14:paraId="6DA71D07" w14:textId="3F118629" w:rsidR="00D230EE" w:rsidRDefault="00D230EE" w:rsidP="00D230EE"/>
    <w:p w14:paraId="0C31D5D4" w14:textId="7915CD72" w:rsidR="00832631" w:rsidRDefault="00D230EE" w:rsidP="0068090F">
      <w:pPr>
        <w:spacing w:line="360" w:lineRule="auto"/>
        <w:ind w:firstLine="708"/>
        <w:jc w:val="both"/>
        <w:rPr>
          <w:rFonts w:ascii="Arial" w:hAnsi="Arial" w:cs="Arial"/>
          <w:b/>
          <w:bCs/>
          <w:color w:val="000000" w:themeColor="text1"/>
          <w:sz w:val="20"/>
          <w:szCs w:val="20"/>
        </w:rPr>
      </w:pPr>
      <w:r>
        <w:rPr>
          <w:rFonts w:ascii="Arial" w:hAnsi="Arial" w:cs="Arial"/>
          <w:sz w:val="24"/>
          <w:szCs w:val="24"/>
        </w:rPr>
        <w:t xml:space="preserve">Definido o número de classes para a classificação dos dados, computa-se </w:t>
      </w:r>
      <w:r w:rsidR="00A674AC">
        <w:rPr>
          <w:rFonts w:ascii="Arial" w:hAnsi="Arial" w:cs="Arial"/>
          <w:sz w:val="24"/>
          <w:szCs w:val="24"/>
        </w:rPr>
        <w:t>os algoritmos</w:t>
      </w:r>
      <w:r>
        <w:rPr>
          <w:rFonts w:ascii="Arial" w:hAnsi="Arial" w:cs="Arial"/>
          <w:sz w:val="24"/>
          <w:szCs w:val="24"/>
        </w:rPr>
        <w:t xml:space="preserve"> de K-Means </w:t>
      </w:r>
      <w:r w:rsidR="002C6053">
        <w:rPr>
          <w:rFonts w:ascii="Arial" w:hAnsi="Arial" w:cs="Arial"/>
          <w:sz w:val="24"/>
          <w:szCs w:val="24"/>
        </w:rPr>
        <w:t xml:space="preserve">e GMM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w:t>
      </w:r>
      <w:r w:rsidR="007B3A53">
        <w:rPr>
          <w:rFonts w:ascii="Arial" w:hAnsi="Arial" w:cs="Arial"/>
          <w:sz w:val="24"/>
          <w:szCs w:val="24"/>
        </w:rPr>
        <w:t xml:space="preserve">, separando assim todas as células do modelo em 3 diferentes </w:t>
      </w:r>
      <w:r w:rsidR="007A5FC8">
        <w:rPr>
          <w:rFonts w:ascii="Arial" w:hAnsi="Arial" w:cs="Arial"/>
          <w:sz w:val="24"/>
          <w:szCs w:val="24"/>
        </w:rPr>
        <w:t>classes</w:t>
      </w:r>
      <w:r w:rsidR="007B3A53">
        <w:rPr>
          <w:rFonts w:ascii="Arial" w:hAnsi="Arial" w:cs="Arial"/>
          <w:sz w:val="24"/>
          <w:szCs w:val="24"/>
        </w:rPr>
        <w:t xml:space="preserve">. </w:t>
      </w:r>
      <w:r w:rsidR="007A5FC8">
        <w:rPr>
          <w:rFonts w:ascii="Arial" w:hAnsi="Arial" w:cs="Arial"/>
          <w:sz w:val="24"/>
          <w:szCs w:val="24"/>
        </w:rPr>
        <w:t xml:space="preserve">A distribuição espacial destas classes (Figura 36; Figura 37) </w:t>
      </w:r>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59" w:name="_Toc12834451"/>
      <w:r>
        <w:rPr>
          <w:rFonts w:ascii="Arial" w:hAnsi="Arial" w:cs="Arial"/>
          <w:b/>
          <w:sz w:val="24"/>
          <w:szCs w:val="24"/>
        </w:rPr>
        <w:t>Cálculos de Volume</w:t>
      </w:r>
      <w:bookmarkEnd w:id="59"/>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K-Means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w:t>
      </w:r>
      <w:r w:rsidR="005341BA">
        <w:rPr>
          <w:rFonts w:ascii="Arial" w:hAnsi="Arial" w:cs="Arial"/>
          <w:sz w:val="24"/>
          <w:szCs w:val="24"/>
        </w:rPr>
        <w:lastRenderedPageBreak/>
        <w:t>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5FB300C6" w:rsidR="00FD4D18" w:rsidRPr="00FD4D18" w:rsidRDefault="00FD4D18" w:rsidP="00FD4D18">
      <w:pPr>
        <w:pStyle w:val="Legenda"/>
        <w:keepNext/>
        <w:jc w:val="center"/>
        <w:rPr>
          <w:rFonts w:ascii="Arial" w:hAnsi="Arial" w:cs="Arial"/>
          <w:b/>
          <w:bCs/>
          <w:color w:val="000000" w:themeColor="text1"/>
          <w:sz w:val="20"/>
          <w:szCs w:val="20"/>
        </w:rPr>
      </w:pPr>
      <w:bookmarkStart w:id="60" w:name="_Toc32229568"/>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9</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6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2">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7DDF8C18" w:rsidR="00FD4D18" w:rsidRPr="00FD4D18" w:rsidRDefault="00FD4D18" w:rsidP="00FD4D18">
      <w:pPr>
        <w:pStyle w:val="Legenda"/>
        <w:keepNext/>
        <w:jc w:val="center"/>
        <w:rPr>
          <w:rFonts w:ascii="Arial" w:hAnsi="Arial" w:cs="Arial"/>
          <w:b/>
          <w:bCs/>
          <w:color w:val="000000" w:themeColor="text1"/>
          <w:sz w:val="20"/>
          <w:szCs w:val="20"/>
        </w:rPr>
      </w:pPr>
      <w:bookmarkStart w:id="61"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w:t>
      </w:r>
      <w:r w:rsidRPr="00FD4D18">
        <w:rPr>
          <w:rFonts w:ascii="Arial" w:hAnsi="Arial" w:cs="Arial"/>
          <w:b/>
          <w:bCs/>
          <w:color w:val="000000" w:themeColor="text1"/>
          <w:sz w:val="20"/>
          <w:szCs w:val="20"/>
        </w:rPr>
        <w:lastRenderedPageBreak/>
        <w:t>baseados no percentil de 75% para ambas as propriedades. [6] Valores de corte baseados no percentil de 90% para ambas as propriedades.</w:t>
      </w:r>
      <w:bookmarkEnd w:id="6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3">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370C93C" w:rsidR="00C3373D" w:rsidRPr="00066544" w:rsidRDefault="00C3373D" w:rsidP="00066544">
      <w:pPr>
        <w:pStyle w:val="Legenda"/>
        <w:keepNext/>
        <w:jc w:val="center"/>
        <w:rPr>
          <w:rFonts w:ascii="Arial" w:hAnsi="Arial" w:cs="Arial"/>
          <w:b/>
          <w:bCs/>
          <w:color w:val="000000" w:themeColor="text1"/>
          <w:sz w:val="20"/>
          <w:szCs w:val="20"/>
        </w:rPr>
      </w:pPr>
      <w:bookmarkStart w:id="62" w:name="_Toc32229570"/>
      <w:r w:rsidRPr="00066544">
        <w:rPr>
          <w:rFonts w:ascii="Arial" w:hAnsi="Arial" w:cs="Arial"/>
          <w:b/>
          <w:bCs/>
          <w:color w:val="000000" w:themeColor="text1"/>
          <w:sz w:val="20"/>
          <w:szCs w:val="20"/>
        </w:rPr>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11</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6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4">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lastRenderedPageBreak/>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 xml:space="preserve">porosidade efetiva no reservatório e o Caso 3 faz o mesmo para o valor médio de saturação de 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w:t>
      </w:r>
      <w:r>
        <w:rPr>
          <w:rFonts w:ascii="Arial" w:hAnsi="Arial" w:cs="Arial"/>
          <w:sz w:val="24"/>
          <w:szCs w:val="24"/>
        </w:rPr>
        <w:lastRenderedPageBreak/>
        <w:t>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3" w:name="_Toc12834452"/>
      <w:bookmarkStart w:id="64" w:name="_Hlk12832429"/>
      <w:r>
        <w:rPr>
          <w:rFonts w:ascii="Arial" w:eastAsia="Times New Roman" w:hAnsi="Arial" w:cs="Arial"/>
          <w:b/>
          <w:sz w:val="28"/>
          <w:szCs w:val="28"/>
        </w:rPr>
        <w:t>CONCLUSÕES</w:t>
      </w:r>
      <w:bookmarkEnd w:id="63"/>
    </w:p>
    <w:bookmarkEnd w:id="64"/>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lastRenderedPageBreak/>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5" w:name="_Toc12834453"/>
      <w:r>
        <w:rPr>
          <w:rFonts w:ascii="Arial" w:eastAsia="Times New Roman" w:hAnsi="Arial" w:cs="Arial"/>
          <w:b/>
          <w:sz w:val="28"/>
          <w:szCs w:val="28"/>
        </w:rPr>
        <w:t>REFERÊNCIAS BIBLIOGRÁFICAS</w:t>
      </w:r>
      <w:bookmarkEnd w:id="65"/>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Costa, L. A. N., Maschio, C., &amp; Schiozer, D. J. 2018. </w:t>
      </w:r>
      <w:r w:rsidRPr="006D5136">
        <w:rPr>
          <w:rFonts w:ascii="Arial" w:eastAsia="Times New Roman" w:hAnsi="Arial" w:cs="Arial"/>
          <w:bCs/>
          <w:lang w:val="en-US"/>
        </w:rPr>
        <w:t>A new methodology to reduce uncertainty of global attributes in naturally fractured reservoirs. Oil &amp; Gas Science and Technology–Revue d’IFP Energies nouvelles,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lastRenderedPageBreak/>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2C6053"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r w:rsidRPr="002C6053">
        <w:rPr>
          <w:rFonts w:ascii="Arial" w:eastAsia="Times New Roman" w:hAnsi="Arial" w:cs="Arial"/>
          <w:bCs/>
          <w:lang w:val="en-U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arcmap/10.3/tools/3d-analyst-toolbox/how-kriging-works.htm. Acesso em: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Fourno, A., Noetinger, B., &amp; Schiozer,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lastRenderedPageBreak/>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Kuroda, M. C., Vidal, A. C., Leite, E. P., &amp; Drummond, R. D. 2012. Electrofacies characterization using self-organizing maps. Revista Brasileira de Geofísica.</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2C6053">
        <w:rPr>
          <w:rFonts w:ascii="Arial" w:eastAsia="Times New Roman" w:hAnsi="Arial" w:cs="Arial"/>
          <w:bCs/>
          <w:lang w:val="en-U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Melani, L., Vidal, A. C., Filho, I. M., &amp; Schuab,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lastRenderedPageBreak/>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t xml:space="preserve">Warren, J. E., &amp; Root, P. J. (1963). The behavior of naturally fractured reservoirs. </w:t>
      </w:r>
      <w:r w:rsidRPr="00A46923">
        <w:rPr>
          <w:rFonts w:ascii="Arial" w:eastAsia="Times New Roman" w:hAnsi="Arial" w:cs="Arial"/>
          <w:bCs/>
        </w:rPr>
        <w:t>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5"/>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D7759" w14:textId="77777777" w:rsidR="00A21B4F" w:rsidRDefault="00A21B4F" w:rsidP="00DD5D20">
      <w:pPr>
        <w:spacing w:after="0" w:line="240" w:lineRule="auto"/>
      </w:pPr>
      <w:r>
        <w:separator/>
      </w:r>
    </w:p>
  </w:endnote>
  <w:endnote w:type="continuationSeparator" w:id="0">
    <w:p w14:paraId="2F0E67CF" w14:textId="77777777" w:rsidR="00A21B4F" w:rsidRDefault="00A21B4F"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598478"/>
      <w:docPartObj>
        <w:docPartGallery w:val="Page Numbers (Bottom of Page)"/>
        <w:docPartUnique/>
      </w:docPartObj>
    </w:sdtPr>
    <w:sdtEndPr>
      <w:rPr>
        <w:noProof/>
      </w:rPr>
    </w:sdtEndPr>
    <w:sdtContent>
      <w:p w14:paraId="384214BB" w14:textId="67A4188D" w:rsidR="007A5FC8" w:rsidRDefault="007A5FC8">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7A5FC8" w:rsidRDefault="007A5FC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68AF6" w14:textId="77777777" w:rsidR="00A21B4F" w:rsidRDefault="00A21B4F" w:rsidP="00DD5D20">
      <w:pPr>
        <w:spacing w:after="0" w:line="240" w:lineRule="auto"/>
      </w:pPr>
      <w:r>
        <w:separator/>
      </w:r>
    </w:p>
  </w:footnote>
  <w:footnote w:type="continuationSeparator" w:id="0">
    <w:p w14:paraId="17756118" w14:textId="77777777" w:rsidR="00A21B4F" w:rsidRDefault="00A21B4F"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4835"/>
    <w:rsid w:val="00046893"/>
    <w:rsid w:val="0005577D"/>
    <w:rsid w:val="00057DD7"/>
    <w:rsid w:val="000604E2"/>
    <w:rsid w:val="00066544"/>
    <w:rsid w:val="00070398"/>
    <w:rsid w:val="00074956"/>
    <w:rsid w:val="00075389"/>
    <w:rsid w:val="00094630"/>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244B"/>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053"/>
    <w:rsid w:val="002C659A"/>
    <w:rsid w:val="002D150E"/>
    <w:rsid w:val="002D6D65"/>
    <w:rsid w:val="002E104D"/>
    <w:rsid w:val="002E6185"/>
    <w:rsid w:val="002F63EE"/>
    <w:rsid w:val="00322AB7"/>
    <w:rsid w:val="003258A5"/>
    <w:rsid w:val="0032750C"/>
    <w:rsid w:val="00331613"/>
    <w:rsid w:val="003463FA"/>
    <w:rsid w:val="00352561"/>
    <w:rsid w:val="00354126"/>
    <w:rsid w:val="003625E3"/>
    <w:rsid w:val="00366C5C"/>
    <w:rsid w:val="00373D02"/>
    <w:rsid w:val="00377857"/>
    <w:rsid w:val="00382D38"/>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19F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4E3037"/>
    <w:rsid w:val="004E4A4D"/>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2D50"/>
    <w:rsid w:val="006637C6"/>
    <w:rsid w:val="00663DB4"/>
    <w:rsid w:val="00667EE7"/>
    <w:rsid w:val="0067092D"/>
    <w:rsid w:val="00671752"/>
    <w:rsid w:val="00680028"/>
    <w:rsid w:val="0068090F"/>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A5FC8"/>
    <w:rsid w:val="007B10EB"/>
    <w:rsid w:val="007B3A53"/>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A3"/>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1B4F"/>
    <w:rsid w:val="00A225E2"/>
    <w:rsid w:val="00A37E15"/>
    <w:rsid w:val="00A43F87"/>
    <w:rsid w:val="00A46923"/>
    <w:rsid w:val="00A47866"/>
    <w:rsid w:val="00A505E2"/>
    <w:rsid w:val="00A53748"/>
    <w:rsid w:val="00A55266"/>
    <w:rsid w:val="00A62B7C"/>
    <w:rsid w:val="00A62BA1"/>
    <w:rsid w:val="00A63D40"/>
    <w:rsid w:val="00A6683E"/>
    <w:rsid w:val="00A674AC"/>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E7C2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4E6"/>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0D91"/>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6BAB"/>
    <w:rsid w:val="00DF49ED"/>
    <w:rsid w:val="00DF58A1"/>
    <w:rsid w:val="00E05BAC"/>
    <w:rsid w:val="00E07403"/>
    <w:rsid w:val="00E17CB6"/>
    <w:rsid w:val="00E21A02"/>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4842"/>
    <w:rsid w:val="00F86C66"/>
    <w:rsid w:val="00F91027"/>
    <w:rsid w:val="00F94B6D"/>
    <w:rsid w:val="00FA2D0F"/>
    <w:rsid w:val="00FA5D3B"/>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47A6273E-F6E0-4B6B-827F-A2492331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4936-F909-4010-88F1-E4BCF6D7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17768</Words>
  <Characters>101283</Characters>
  <Application>Microsoft Office Word</Application>
  <DocSecurity>0</DocSecurity>
  <Lines>844</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6</cp:revision>
  <dcterms:created xsi:type="dcterms:W3CDTF">2020-05-31T07:14:00Z</dcterms:created>
  <dcterms:modified xsi:type="dcterms:W3CDTF">2020-06-23T23:19:00Z</dcterms:modified>
</cp:coreProperties>
</file>